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8B" w:rsidRPr="00181F46" w:rsidRDefault="0089748B" w:rsidP="0089748B">
      <w:pPr>
        <w:pStyle w:val="Heading1"/>
        <w:jc w:val="center"/>
        <w:rPr>
          <w:color w:val="C00000"/>
        </w:rPr>
      </w:pPr>
      <w:r w:rsidRPr="00181F46">
        <w:rPr>
          <w:color w:val="C00000"/>
        </w:rPr>
        <w:t>Creating a Successful Group Meet-up</w:t>
      </w:r>
    </w:p>
    <w:p w:rsidR="0089748B" w:rsidRPr="00B75BBA" w:rsidRDefault="0089748B" w:rsidP="0089748B"/>
    <w:p w:rsidR="0089748B" w:rsidRPr="0005487B" w:rsidRDefault="0089748B" w:rsidP="0089748B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7E657F33" wp14:editId="16CDD5AB">
            <wp:extent cx="2860675" cy="1602740"/>
            <wp:effectExtent l="0" t="0" r="0" b="0"/>
            <wp:docPr id="41" name="Picture 41" descr="http://3638u76imoxytf892yhezdi2.wpengine.netdna-cdn.com/wp-content/uploads/2011/10/GroupTherapy-300x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638u76imoxytf892yhezdi2.wpengine.netdna-cdn.com/wp-content/uploads/2011/10/GroupTherapy-300x1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8B" w:rsidRPr="0005487B" w:rsidRDefault="0089748B" w:rsidP="0089748B">
      <w:pPr>
        <w:rPr>
          <w:highlight w:val="yellow"/>
        </w:rPr>
      </w:pPr>
    </w:p>
    <w:p w:rsidR="0089748B" w:rsidRPr="00181F46" w:rsidRDefault="0089748B" w:rsidP="0089748B">
      <w:pPr>
        <w:pStyle w:val="Heading2"/>
        <w:rPr>
          <w:color w:val="C00000"/>
        </w:rPr>
      </w:pPr>
      <w:r w:rsidRPr="00181F46">
        <w:rPr>
          <w:color w:val="C00000"/>
        </w:rPr>
        <w:t>Selecting Students</w:t>
      </w:r>
      <w:r w:rsidRPr="00181F46">
        <w:t xml:space="preserve"> </w:t>
      </w:r>
      <w:sdt>
        <w:sdtPr>
          <w:rPr>
            <w:rFonts w:asciiTheme="minorHAnsi" w:hAnsiTheme="minorHAnsi"/>
            <w:color w:val="auto"/>
            <w:sz w:val="22"/>
            <w:szCs w:val="22"/>
          </w:rPr>
          <w:id w:val="1102147810"/>
          <w:citation/>
        </w:sdtPr>
        <w:sdtContent>
          <w:r w:rsidRPr="00181F46">
            <w:rPr>
              <w:rFonts w:asciiTheme="minorHAnsi" w:hAnsiTheme="minorHAnsi"/>
              <w:color w:val="auto"/>
              <w:sz w:val="22"/>
              <w:szCs w:val="22"/>
            </w:rPr>
            <w:fldChar w:fldCharType="begin"/>
          </w:r>
          <w:r>
            <w:rPr>
              <w:rFonts w:asciiTheme="minorHAnsi" w:hAnsiTheme="minorHAnsi"/>
              <w:color w:val="auto"/>
              <w:sz w:val="22"/>
              <w:szCs w:val="22"/>
            </w:rPr>
            <w:instrText xml:space="preserve">CITATION Sme95 \p 48-49 \l 1033 </w:instrText>
          </w:r>
          <w:r w:rsidRPr="00181F46">
            <w:rPr>
              <w:rFonts w:asciiTheme="minorHAnsi" w:hAnsiTheme="minorHAnsi"/>
              <w:color w:val="auto"/>
              <w:sz w:val="22"/>
              <w:szCs w:val="22"/>
            </w:rPr>
            <w:fldChar w:fldCharType="separate"/>
          </w:r>
          <w:r w:rsidRPr="00164791">
            <w:rPr>
              <w:rFonts w:asciiTheme="minorHAnsi" w:hAnsiTheme="minorHAnsi"/>
              <w:noProof/>
              <w:color w:val="auto"/>
              <w:sz w:val="22"/>
              <w:szCs w:val="22"/>
            </w:rPr>
            <w:t>(Smead, 1995, pp. 48-49)</w:t>
          </w:r>
          <w:r w:rsidRPr="00181F46">
            <w:rPr>
              <w:rFonts w:asciiTheme="minorHAnsi" w:hAnsiTheme="minorHAnsi"/>
              <w:color w:val="auto"/>
              <w:sz w:val="22"/>
              <w:szCs w:val="22"/>
            </w:rPr>
            <w:fldChar w:fldCharType="end"/>
          </w:r>
        </w:sdtContent>
      </w:sdt>
    </w:p>
    <w:p w:rsidR="0089748B" w:rsidRPr="00707C48" w:rsidRDefault="0089748B" w:rsidP="0089748B">
      <w:r w:rsidRPr="00181F46">
        <w:rPr>
          <w:b/>
        </w:rPr>
        <w:t>DO</w:t>
      </w:r>
      <w:r w:rsidRPr="00707C48">
        <w:t xml:space="preserve"> select: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A range of participants so the child will have at least one positive behavioral model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Children who are not more than two years apart chronologically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Children with approximately the same and social, emotional, intellectual, and physical maturity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Children who respond well to social influence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Children who are known to be able to work cooperatively in a group situation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Children from different racial, cultural, ethnic and socioeconomic backgrounds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Both boys and girls</w:t>
      </w:r>
    </w:p>
    <w:p w:rsidR="0089748B" w:rsidRPr="00707C48" w:rsidRDefault="0089748B" w:rsidP="0089748B"/>
    <w:p w:rsidR="0089748B" w:rsidRPr="00707C48" w:rsidRDefault="0089748B" w:rsidP="0089748B">
      <w:r>
        <w:rPr>
          <w:b/>
        </w:rPr>
        <w:t>DO NOT</w:t>
      </w:r>
      <w:r w:rsidRPr="00707C48">
        <w:t xml:space="preserve"> select: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The participant’s siblings or relatives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Children who are suicidal or homicidal or who have seriously considered attempting these actions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Children who habitually lie or steal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Children who are in a recent or ongoing crisis (unless the group is specifically designed to deal with this issue)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Children who you strongly suspect are being physically or sexually abused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Children who are too “different” from the rest of the group (e.g., one pregnant girl or one new student from Vietnam who has not yet fully adjusted)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Children who are extremely aggressive, either physically or verbally</w:t>
      </w:r>
    </w:p>
    <w:p w:rsidR="0089748B" w:rsidRPr="00707C48" w:rsidRDefault="0089748B" w:rsidP="0089748B">
      <w:pPr>
        <w:rPr>
          <w:b/>
          <w:u w:val="single"/>
        </w:rPr>
      </w:pPr>
    </w:p>
    <w:p w:rsidR="0089748B" w:rsidRPr="00707C48" w:rsidRDefault="0089748B" w:rsidP="0089748B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181F46">
        <w:rPr>
          <w:color w:val="C00000"/>
        </w:rPr>
        <w:t xml:space="preserve">Starting the Group </w:t>
      </w:r>
      <w:sdt>
        <w:sdtPr>
          <w:rPr>
            <w:rFonts w:asciiTheme="minorHAnsi" w:hAnsiTheme="minorHAnsi"/>
            <w:color w:val="auto"/>
            <w:sz w:val="22"/>
            <w:szCs w:val="22"/>
          </w:rPr>
          <w:id w:val="-505830930"/>
          <w:citation/>
        </w:sdtPr>
        <w:sdtContent>
          <w:r w:rsidRPr="00707C48">
            <w:rPr>
              <w:rFonts w:asciiTheme="minorHAnsi" w:hAnsiTheme="minorHAnsi"/>
              <w:color w:val="auto"/>
              <w:sz w:val="22"/>
              <w:szCs w:val="22"/>
            </w:rPr>
            <w:fldChar w:fldCharType="begin"/>
          </w:r>
          <w:r w:rsidRPr="00707C48">
            <w:rPr>
              <w:rFonts w:asciiTheme="minorHAnsi" w:hAnsiTheme="minorHAnsi"/>
              <w:color w:val="auto"/>
              <w:sz w:val="22"/>
              <w:szCs w:val="22"/>
            </w:rPr>
            <w:instrText xml:space="preserve">CITATION Sme95 \p 54-55 \l 1033 </w:instrText>
          </w:r>
          <w:r w:rsidRPr="00707C48">
            <w:rPr>
              <w:rFonts w:asciiTheme="minorHAnsi" w:hAnsiTheme="minorHAnsi"/>
              <w:color w:val="auto"/>
              <w:sz w:val="22"/>
              <w:szCs w:val="22"/>
            </w:rPr>
            <w:fldChar w:fldCharType="separate"/>
          </w:r>
          <w:r w:rsidRPr="00164791">
            <w:rPr>
              <w:rFonts w:asciiTheme="minorHAnsi" w:hAnsiTheme="minorHAnsi"/>
              <w:noProof/>
              <w:color w:val="auto"/>
              <w:sz w:val="22"/>
              <w:szCs w:val="22"/>
            </w:rPr>
            <w:t>(Smead, 1995, pp. 54-55)</w:t>
          </w:r>
          <w:r w:rsidRPr="00707C48">
            <w:rPr>
              <w:rFonts w:asciiTheme="minorHAnsi" w:hAnsiTheme="minorHAnsi"/>
              <w:color w:val="auto"/>
              <w:sz w:val="22"/>
              <w:szCs w:val="22"/>
            </w:rPr>
            <w:fldChar w:fldCharType="end"/>
          </w:r>
        </w:sdtContent>
      </w:sdt>
    </w:p>
    <w:p w:rsidR="0089748B" w:rsidRPr="00707C48" w:rsidRDefault="0089748B" w:rsidP="0089748B">
      <w:r w:rsidRPr="00707C48">
        <w:t xml:space="preserve">The group should consist of approximately 6 to 8 students who choose to be part of the group </w:t>
      </w:r>
      <w:r w:rsidRPr="00181F46">
        <w:rPr>
          <w:i/>
        </w:rPr>
        <w:t>voluntarily</w:t>
      </w:r>
      <w:r w:rsidRPr="00707C48">
        <w:t>. Choose a room that closes completely and be sure you hang a sign on the door reminding people not to enter during the session unless there’s an emergency.</w:t>
      </w:r>
    </w:p>
    <w:p w:rsidR="0089748B" w:rsidRPr="00707C48" w:rsidRDefault="0089748B" w:rsidP="0089748B"/>
    <w:p w:rsidR="0089748B" w:rsidRPr="00707C48" w:rsidRDefault="0089748B" w:rsidP="0089748B">
      <w:r w:rsidRPr="00707C48">
        <w:t xml:space="preserve">General session structure </w:t>
      </w:r>
      <w:sdt>
        <w:sdtPr>
          <w:id w:val="1169448591"/>
          <w:citation/>
        </w:sdtPr>
        <w:sdtContent>
          <w:r w:rsidRPr="00707C48">
            <w:fldChar w:fldCharType="begin"/>
          </w:r>
          <w:r w:rsidRPr="00707C48">
            <w:instrText xml:space="preserve">CITATION Sme95 \p 52 \l 1033 </w:instrText>
          </w:r>
          <w:r w:rsidRPr="00707C48">
            <w:fldChar w:fldCharType="separate"/>
          </w:r>
          <w:r>
            <w:rPr>
              <w:noProof/>
            </w:rPr>
            <w:t>(Smead, 1995, p. 52)</w:t>
          </w:r>
          <w:r w:rsidRPr="00707C48">
            <w:fldChar w:fldCharType="end"/>
          </w:r>
        </w:sdtContent>
      </w:sdt>
      <w:r w:rsidRPr="00707C48">
        <w:t>:</w:t>
      </w:r>
    </w:p>
    <w:p w:rsidR="0089748B" w:rsidRPr="00707C48" w:rsidRDefault="0089748B" w:rsidP="0089748B">
      <w:pPr>
        <w:numPr>
          <w:ilvl w:val="0"/>
          <w:numId w:val="2"/>
        </w:numPr>
      </w:pPr>
      <w:r w:rsidRPr="00707C48">
        <w:t xml:space="preserve">Ice breaker or review – </w:t>
      </w:r>
      <w:r>
        <w:t xml:space="preserve">This is when the facilitator can </w:t>
      </w:r>
      <w:r w:rsidRPr="00707C48">
        <w:t xml:space="preserve">address any ideas, feelings, thoughts or questions about the </w:t>
      </w:r>
      <w:r>
        <w:t>previous</w:t>
      </w:r>
      <w:r w:rsidRPr="00707C48">
        <w:t xml:space="preserve"> session</w:t>
      </w:r>
      <w:r>
        <w:t>. It is also a time to</w:t>
      </w:r>
      <w:r w:rsidRPr="00707C48">
        <w:t xml:space="preserve"> share about what participants might have practiced</w:t>
      </w:r>
      <w:r>
        <w:t xml:space="preserve"> since the previous session.</w:t>
      </w:r>
    </w:p>
    <w:p w:rsidR="0089748B" w:rsidRPr="00707C48" w:rsidRDefault="0089748B" w:rsidP="0089748B">
      <w:pPr>
        <w:numPr>
          <w:ilvl w:val="0"/>
          <w:numId w:val="2"/>
        </w:numPr>
      </w:pPr>
      <w:r w:rsidRPr="00707C48">
        <w:t>Working time</w:t>
      </w:r>
      <w:r>
        <w:t xml:space="preserve"> – This is the longest part of the session and focuses on the topic for the session.</w:t>
      </w:r>
    </w:p>
    <w:p w:rsidR="0089748B" w:rsidRPr="00707C48" w:rsidRDefault="0089748B" w:rsidP="0089748B">
      <w:pPr>
        <w:numPr>
          <w:ilvl w:val="0"/>
          <w:numId w:val="2"/>
        </w:numPr>
      </w:pPr>
      <w:r w:rsidRPr="00707C48">
        <w:lastRenderedPageBreak/>
        <w:t>Process time</w:t>
      </w:r>
      <w:r>
        <w:t xml:space="preserve"> – This is when the group can share what they have felt or learned and also to reflect on plans for future behavioral changes.</w:t>
      </w:r>
    </w:p>
    <w:p w:rsidR="0089748B" w:rsidRPr="00707C48" w:rsidRDefault="0089748B" w:rsidP="0089748B">
      <w:pPr>
        <w:rPr>
          <w:rStyle w:val="Heading2Char"/>
        </w:rPr>
      </w:pPr>
      <w:bookmarkStart w:id="0" w:name="_GoBack"/>
      <w:bookmarkEnd w:id="0"/>
    </w:p>
    <w:p w:rsidR="0089748B" w:rsidRPr="00707C48" w:rsidRDefault="0089748B" w:rsidP="0089748B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181F46">
        <w:rPr>
          <w:rStyle w:val="Heading2Char"/>
          <w:color w:val="C00000"/>
        </w:rPr>
        <w:t>Maintaining the Group</w:t>
      </w:r>
      <w:r w:rsidRPr="00181F46">
        <w:rPr>
          <w:rStyle w:val="Heading2Char"/>
          <w:rFonts w:asciiTheme="minorHAnsi" w:hAnsiTheme="minorHAnsi"/>
          <w:color w:val="C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auto"/>
            <w:sz w:val="22"/>
            <w:szCs w:val="22"/>
          </w:rPr>
          <w:id w:val="1732275049"/>
          <w:citation/>
        </w:sdtPr>
        <w:sdtContent>
          <w:r w:rsidRPr="00707C48">
            <w:rPr>
              <w:rFonts w:asciiTheme="minorHAnsi" w:hAnsiTheme="minorHAnsi"/>
              <w:color w:val="auto"/>
              <w:sz w:val="22"/>
              <w:szCs w:val="22"/>
            </w:rPr>
            <w:fldChar w:fldCharType="begin"/>
          </w:r>
          <w:r w:rsidRPr="00707C48">
            <w:rPr>
              <w:rFonts w:asciiTheme="minorHAnsi" w:hAnsiTheme="minorHAnsi"/>
              <w:color w:val="auto"/>
              <w:sz w:val="22"/>
              <w:szCs w:val="22"/>
            </w:rPr>
            <w:instrText xml:space="preserve">CITATION Sme95 \p 57-73 \l 1033 </w:instrText>
          </w:r>
          <w:r w:rsidRPr="00707C48">
            <w:rPr>
              <w:rFonts w:asciiTheme="minorHAnsi" w:hAnsiTheme="minorHAnsi"/>
              <w:color w:val="auto"/>
              <w:sz w:val="22"/>
              <w:szCs w:val="22"/>
            </w:rPr>
            <w:fldChar w:fldCharType="separate"/>
          </w:r>
          <w:r w:rsidRPr="00164791">
            <w:rPr>
              <w:rFonts w:asciiTheme="minorHAnsi" w:hAnsiTheme="minorHAnsi"/>
              <w:noProof/>
              <w:color w:val="auto"/>
              <w:sz w:val="22"/>
              <w:szCs w:val="22"/>
            </w:rPr>
            <w:t>(Smead, 1995, pp. 57-73)</w:t>
          </w:r>
          <w:r w:rsidRPr="00707C48">
            <w:rPr>
              <w:rFonts w:asciiTheme="minorHAnsi" w:hAnsiTheme="minorHAnsi"/>
              <w:color w:val="auto"/>
              <w:sz w:val="22"/>
              <w:szCs w:val="22"/>
            </w:rPr>
            <w:fldChar w:fldCharType="end"/>
          </w:r>
        </w:sdtContent>
      </w:sdt>
    </w:p>
    <w:p w:rsidR="0089748B" w:rsidRPr="00707C48" w:rsidRDefault="0089748B" w:rsidP="0089748B">
      <w:r>
        <w:rPr>
          <w:b/>
        </w:rPr>
        <w:t>DO</w:t>
      </w:r>
      <w:r w:rsidRPr="00707C48">
        <w:t>: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Encourage cohesion by pointing out connections between group members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 xml:space="preserve">Model being real </w:t>
      </w:r>
      <w:r>
        <w:t xml:space="preserve">and authentic </w:t>
      </w:r>
      <w:r w:rsidRPr="00707C48">
        <w:t>by self disclosing appropriately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Use gentle confrontatio</w:t>
      </w:r>
      <w:r>
        <w:t>n.  For example, “On the one hand</w:t>
      </w:r>
      <w:r w:rsidRPr="00707C48">
        <w:t xml:space="preserve"> you really want to make something of yourself and get a good education, but on the other hand it looks like </w:t>
      </w:r>
      <w:r>
        <w:t>you</w:t>
      </w:r>
      <w:r w:rsidRPr="00707C48">
        <w:t xml:space="preserve"> keep sabotaging your goal by doing things to get in trouble and make low grades.  What you think might be keeping you from reaching your goal?”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 xml:space="preserve">If hostile behaviors are </w:t>
      </w:r>
      <w:r>
        <w:t>present</w:t>
      </w:r>
      <w:r w:rsidRPr="00707C48">
        <w:t xml:space="preserve">, deal directly with them.  Ask </w:t>
      </w:r>
      <w:r>
        <w:t>the target youth what it is like to be in a group that they don’t want to be in</w:t>
      </w:r>
      <w:r w:rsidRPr="00707C48">
        <w:t>.</w:t>
      </w:r>
      <w:r>
        <w:t xml:space="preserve"> Share constructive ways of expressing anger, such as go-arounds with “Today, I feel most angry about…”</w:t>
      </w:r>
      <w:r w:rsidRPr="00707C48">
        <w:t xml:space="preserve"> </w:t>
      </w:r>
      <w:r>
        <w:t>Encourage exploration of what is provoking anger and encourage other group participants to share about how they might or have felt in similar situations.</w:t>
      </w:r>
      <w:r w:rsidRPr="00707C48">
        <w:t xml:space="preserve"> You could also use physical activities in the session to help teach appropriate way to externalizing anger – e.g.  throw paper balls at a wastebasket, draw pictures, hit a punching bag, etc.</w:t>
      </w:r>
      <w:r>
        <w:t xml:space="preserve"> Be aware that many children come from homes where either anger is not expressed or is expressed inappropriately and, hence, they may never have seen anger dealt with appropriately.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Allow children to experience negative feelings without “rescuing.”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Keep reinforcing the need to take responsibility for behavior, helping each child change “you” statements to “I” statements.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Ask children to review the roles about three quarters of the way through the group.</w:t>
      </w:r>
    </w:p>
    <w:p w:rsidR="0089748B" w:rsidRPr="00707C48" w:rsidRDefault="0089748B" w:rsidP="0089748B">
      <w:r>
        <w:rPr>
          <w:b/>
        </w:rPr>
        <w:t>DO NOT</w:t>
      </w:r>
      <w:r w:rsidRPr="00707C48">
        <w:t>: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Expect children to understand the norms and expectations without your modeling in reinforcing the behaviors many times.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Use a teacher voice.  Instead, use your voice to develop a relaxed, genuine atmosphere so children will understand that group is different than class.</w:t>
      </w:r>
    </w:p>
    <w:p w:rsidR="0089748B" w:rsidRPr="00707C48" w:rsidRDefault="0089748B" w:rsidP="0089748B">
      <w:pPr>
        <w:numPr>
          <w:ilvl w:val="0"/>
          <w:numId w:val="1"/>
        </w:numPr>
      </w:pPr>
      <w:r w:rsidRPr="00707C48">
        <w:t>Let one child monopolize.  You might need to say, “You have had a lot of air time today.  Please let everyone else had a chance to talk before it’s your turn again” or “You seem to need a lot of attention today.  What seems to be bothering me that needs to come out?”</w:t>
      </w:r>
    </w:p>
    <w:p w:rsidR="00520073" w:rsidRDefault="00520073"/>
    <w:sectPr w:rsidR="0052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2B12"/>
    <w:multiLevelType w:val="hybridMultilevel"/>
    <w:tmpl w:val="9824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36592"/>
    <w:multiLevelType w:val="hybridMultilevel"/>
    <w:tmpl w:val="D0DC2AA2"/>
    <w:lvl w:ilvl="0" w:tplc="D59C6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8B"/>
    <w:rsid w:val="00520073"/>
    <w:rsid w:val="0089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E9DC"/>
  <w15:chartTrackingRefBased/>
  <w15:docId w15:val="{0FDE7839-65BC-4250-8C5F-37380A1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8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7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4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Sme95</b:Tag>
    <b:SourceType>Book</b:SourceType>
    <b:Guid>{64EFAFB6-FF5C-43D4-86C2-D53F5DC76F52}</b:Guid>
    <b:Author>
      <b:Author>
        <b:NameList>
          <b:Person>
            <b:Last>Smead</b:Last>
            <b:First>R.</b:First>
          </b:Person>
        </b:NameList>
      </b:Author>
    </b:Author>
    <b:Title>Skills and techniques for group work with children and adolescents</b:Title>
    <b:Year>1995</b:Year>
    <b:City>Champaign</b:City>
    <b:Publisher>Research Press</b:Publisher>
    <b:StateProvince>IL</b:StateProvince>
    <b:RefOrder>22</b:RefOrder>
  </b:Source>
</b:Sources>
</file>

<file path=customXml/itemProps1.xml><?xml version="1.0" encoding="utf-8"?>
<ds:datastoreItem xmlns:ds="http://schemas.openxmlformats.org/officeDocument/2006/customXml" ds:itemID="{CA99DBA2-FC3E-4892-A584-3B72AF83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Fullchange</dc:creator>
  <cp:keywords/>
  <dc:description/>
  <cp:lastModifiedBy>Aileen Fullchange</cp:lastModifiedBy>
  <cp:revision>1</cp:revision>
  <dcterms:created xsi:type="dcterms:W3CDTF">2016-02-17T20:51:00Z</dcterms:created>
  <dcterms:modified xsi:type="dcterms:W3CDTF">2016-02-17T20:51:00Z</dcterms:modified>
</cp:coreProperties>
</file>